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="00D21E25" w:rsidRPr="00D21E25">
        <w:rPr>
          <w:rFonts w:asciiTheme="minorHAnsi" w:hAnsiTheme="minorHAnsi"/>
          <w:b/>
          <w:bCs/>
          <w:sz w:val="28"/>
          <w:szCs w:val="28"/>
        </w:rPr>
        <w:t>Modernizace učebny fyziky, chemie a kabine</w:t>
      </w:r>
      <w:r w:rsidR="00635E95">
        <w:rPr>
          <w:rFonts w:asciiTheme="minorHAnsi" w:hAnsiTheme="minorHAnsi"/>
          <w:b/>
          <w:bCs/>
          <w:sz w:val="28"/>
          <w:szCs w:val="28"/>
        </w:rPr>
        <w:t>tu ZŠ Lanškroun – pomůcky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bookmarkStart w:id="1" w:name="_GoBack"/>
      <w:bookmarkEnd w:id="1"/>
      <w:r w:rsidR="00D21E25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35E95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1E25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EEB98DA7</Template>
  <TotalTime>11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19</cp:revision>
  <cp:lastPrinted>2012-07-03T10:50:00Z</cp:lastPrinted>
  <dcterms:created xsi:type="dcterms:W3CDTF">2018-04-04T13:49:00Z</dcterms:created>
  <dcterms:modified xsi:type="dcterms:W3CDTF">2023-07-17T07:51:00Z</dcterms:modified>
</cp:coreProperties>
</file>